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3C30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14:paraId="352CC692" w14:textId="77777777"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14:paraId="11CA8D4F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14:paraId="229BC101" w14:textId="77777777"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</w:p>
    <w:p w14:paraId="4C480AC5" w14:textId="77777777" w:rsidR="00A96086" w:rsidRPr="003378FE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14:paraId="02D20561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</w:t>
      </w:r>
      <w:proofErr w:type="gramStart"/>
      <w:r w:rsidRPr="004A2CA4">
        <w:rPr>
          <w:rFonts w:ascii="標楷體" w:eastAsia="標楷體" w:hAnsi="標楷體" w:hint="eastAsia"/>
          <w:color w:val="000000"/>
        </w:rPr>
        <w:t>臺教國署國</w:t>
      </w:r>
      <w:proofErr w:type="gramEnd"/>
      <w:r w:rsidRPr="004A2CA4">
        <w:rPr>
          <w:rFonts w:ascii="標楷體" w:eastAsia="標楷體" w:hAnsi="標楷體" w:hint="eastAsia"/>
          <w:color w:val="000000"/>
        </w:rPr>
        <w:t>字第1135500065號函</w:t>
      </w:r>
    </w:p>
    <w:p w14:paraId="4E251D99" w14:textId="77777777"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proofErr w:type="gramStart"/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</w:t>
      </w:r>
      <w:proofErr w:type="gramEnd"/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第1130023332號函</w:t>
      </w:r>
    </w:p>
    <w:p w14:paraId="00ED5BBE" w14:textId="77777777"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/>
          <w:color w:val="000000"/>
        </w:rPr>
      </w:pPr>
    </w:p>
    <w:p w14:paraId="2CE53462" w14:textId="77777777"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14:paraId="70175B75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14:paraId="4B1C8443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14:paraId="200ADE07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14:paraId="5BF4644B" w14:textId="77777777"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14:paraId="49B88276" w14:textId="77777777"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14:paraId="4671D450" w14:textId="77777777"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/>
        </w:rPr>
      </w:pPr>
    </w:p>
    <w:p w14:paraId="17EAED09" w14:textId="77777777" w:rsidR="00A96086" w:rsidRDefault="00A96086" w:rsidP="00A96086">
      <w:pPr>
        <w:rPr>
          <w:rFonts w:eastAsia="標楷體" w:hAnsi="標楷體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14:paraId="2A94424B" w14:textId="77777777"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14:paraId="14C010CA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14:paraId="2750CB2F" w14:textId="77777777" w:rsidR="00A96086" w:rsidRPr="004B4D2F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14:paraId="618F8D95" w14:textId="77777777" w:rsidR="00A96086" w:rsidRPr="00644CFB" w:rsidRDefault="00A96086" w:rsidP="00A9608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14:paraId="5B378038" w14:textId="77777777" w:rsidR="00A96086" w:rsidRPr="005A6CF5" w:rsidRDefault="00A96086" w:rsidP="00A96086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proofErr w:type="gramStart"/>
      <w:r>
        <w:rPr>
          <w:rFonts w:ascii="標楷體" w:eastAsia="標楷體" w:hAnsi="標楷體" w:hint="eastAsia"/>
          <w:bCs/>
        </w:rPr>
        <w:t>桃國市</w:t>
      </w:r>
      <w:proofErr w:type="gramEnd"/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14:paraId="7B3EBE2E" w14:textId="77777777" w:rsidR="00A96086" w:rsidRDefault="00A96086" w:rsidP="00A96086">
      <w:pPr>
        <w:rPr>
          <w:rFonts w:ascii="標楷體" w:eastAsia="標楷體" w:hAnsi="標楷體"/>
        </w:rPr>
      </w:pPr>
    </w:p>
    <w:p w14:paraId="3112E2BF" w14:textId="77777777"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14:paraId="3C9192ED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14:paraId="37BE6A43" w14:textId="77777777"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</w:t>
      </w:r>
      <w:proofErr w:type="gramStart"/>
      <w:r w:rsidRPr="00F949E0">
        <w:rPr>
          <w:rFonts w:ascii="標楷體" w:eastAsia="標楷體" w:hAnsi="標楷體" w:hint="eastAsia"/>
        </w:rPr>
        <w:t>採</w:t>
      </w:r>
      <w:proofErr w:type="gramEnd"/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14:paraId="1EFF4FDA" w14:textId="77777777"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</w:t>
      </w:r>
      <w:proofErr w:type="gramStart"/>
      <w:r w:rsidRPr="00810033">
        <w:rPr>
          <w:rFonts w:ascii="標楷體" w:eastAsia="標楷體" w:hAnsi="標楷體" w:hint="eastAsia"/>
        </w:rPr>
        <w:t>三</w:t>
      </w:r>
      <w:proofErr w:type="gramEnd"/>
      <w:r w:rsidRPr="00810033">
        <w:rPr>
          <w:rFonts w:ascii="標楷體" w:eastAsia="標楷體" w:hAnsi="標楷體" w:hint="eastAsia"/>
        </w:rPr>
        <w:t>部分，以下分述之：</w:t>
      </w:r>
    </w:p>
    <w:p w14:paraId="43A72AEC" w14:textId="77777777"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proofErr w:type="gramStart"/>
      <w:r w:rsidRPr="003B32F3">
        <w:rPr>
          <w:rFonts w:hint="eastAsia"/>
          <w:lang w:eastAsia="zh-TW"/>
        </w:rPr>
        <w:t>一</w:t>
      </w:r>
      <w:proofErr w:type="gramEnd"/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14:paraId="7F267992" w14:textId="77777777"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14:paraId="0212CE14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14:paraId="26788872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14:paraId="79173336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</w:t>
      </w:r>
      <w:proofErr w:type="gramStart"/>
      <w:r w:rsidRPr="002D791E">
        <w:rPr>
          <w:rFonts w:cs="Times New Roman" w:hint="eastAsia"/>
          <w:lang w:eastAsia="zh-TW"/>
        </w:rPr>
        <w:t>群共備</w:t>
      </w:r>
      <w:proofErr w:type="gramEnd"/>
      <w:r w:rsidRPr="002D791E">
        <w:rPr>
          <w:rFonts w:cs="Times New Roman" w:hint="eastAsia"/>
          <w:lang w:eastAsia="zh-TW"/>
        </w:rPr>
        <w:t>、其他教學資源連結等資料</w:t>
      </w:r>
    </w:p>
    <w:p w14:paraId="0A149F7F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14:paraId="54378ECC" w14:textId="77777777"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14:paraId="726E02C5" w14:textId="77777777"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</w:t>
      </w:r>
      <w:proofErr w:type="gramStart"/>
      <w:r w:rsidRPr="002D791E">
        <w:rPr>
          <w:rFonts w:cs="Times New Roman" w:hint="eastAsia"/>
          <w:lang w:eastAsia="zh-TW"/>
        </w:rPr>
        <w:t>一</w:t>
      </w:r>
      <w:proofErr w:type="gramEnd"/>
      <w:r w:rsidRPr="002D791E">
        <w:rPr>
          <w:rFonts w:cs="Times New Roman" w:hint="eastAsia"/>
          <w:lang w:eastAsia="zh-TW"/>
        </w:rPr>
        <w:t>對象之改變進行說明</w:t>
      </w:r>
      <w:r w:rsidRPr="003B32F3">
        <w:rPr>
          <w:rFonts w:cs="Times New Roman"/>
          <w:lang w:eastAsia="zh-TW"/>
        </w:rPr>
        <w:t>)</w:t>
      </w:r>
    </w:p>
    <w:p w14:paraId="016D3788" w14:textId="77777777"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14:paraId="55F8088A" w14:textId="77777777"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14:paraId="276C6F73" w14:textId="77777777"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proofErr w:type="gramStart"/>
      <w:r w:rsidRPr="004B4D2F">
        <w:rPr>
          <w:rFonts w:ascii="標楷體" w:eastAsia="標楷體" w:hint="eastAsia"/>
        </w:rPr>
        <w:t>一</w:t>
      </w:r>
      <w:proofErr w:type="gramEnd"/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 w:rsidR="000A3526">
        <w:rPr>
          <w:rFonts w:ascii="標楷體" w:eastAsia="標楷體" w:hint="eastAsia"/>
        </w:rPr>
        <w:t>總</w:t>
      </w:r>
      <w:r>
        <w:rPr>
          <w:rFonts w:ascii="標楷體" w:eastAsia="標楷體" w:hint="eastAsia"/>
        </w:rPr>
        <w:t>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 w:rsidR="000A3526">
        <w:rPr>
          <w:rFonts w:ascii="標楷體" w:eastAsia="標楷體" w:hint="eastAsia"/>
        </w:rPr>
        <w:t>5</w:t>
      </w:r>
      <w:r>
        <w:rPr>
          <w:rFonts w:ascii="標楷體" w:eastAsia="標楷體" w:hint="eastAsia"/>
        </w:rPr>
        <w:t xml:space="preserve">14 </w:t>
      </w:r>
      <w:r w:rsidR="000A3526">
        <w:rPr>
          <w:rFonts w:ascii="標楷體" w:eastAsia="標楷體" w:hint="eastAsia"/>
        </w:rPr>
        <w:t>總</w:t>
      </w:r>
      <w:r w:rsidRPr="003378FE">
        <w:rPr>
          <w:rFonts w:ascii="標楷體" w:eastAsia="標楷體" w:hint="eastAsia"/>
        </w:rPr>
        <w:t>務處</w:t>
      </w:r>
      <w:r w:rsidR="000A3526">
        <w:rPr>
          <w:rFonts w:ascii="標楷體" w:eastAsia="標楷體" w:hint="eastAsia"/>
        </w:rPr>
        <w:t>文書</w:t>
      </w:r>
      <w:r>
        <w:rPr>
          <w:rFonts w:ascii="標楷體" w:eastAsia="標楷體" w:hint="eastAsia"/>
        </w:rPr>
        <w:t>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</w:t>
      </w:r>
      <w:proofErr w:type="gramStart"/>
      <w:r w:rsidRPr="004B4D2F">
        <w:rPr>
          <w:rFonts w:ascii="標楷體" w:eastAsia="標楷體" w:hint="eastAsia"/>
        </w:rPr>
        <w:t>憑</w:t>
      </w:r>
      <w:proofErr w:type="gramEnd"/>
      <w:r w:rsidRPr="004B4D2F">
        <w:rPr>
          <w:rFonts w:ascii="標楷體" w:eastAsia="標楷體" w:hint="eastAsia"/>
        </w:rPr>
        <w:t>。</w:t>
      </w:r>
      <w:r w:rsidRPr="004B4D2F">
        <w:rPr>
          <w:rFonts w:ascii="標楷體" w:eastAsia="標楷體"/>
        </w:rPr>
        <w:t xml:space="preserve"> </w:t>
      </w:r>
    </w:p>
    <w:p w14:paraId="05FC6181" w14:textId="77777777"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14:paraId="3E35335B" w14:textId="77777777"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14:paraId="1A000B51" w14:textId="77777777"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14:paraId="0EBEF36D" w14:textId="77777777"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</w:t>
      </w:r>
      <w:proofErr w:type="gramStart"/>
      <w:r w:rsidRPr="00C22600">
        <w:rPr>
          <w:rFonts w:ascii="標楷體" w:eastAsia="標楷體" w:hAnsi="標楷體" w:hint="eastAsia"/>
        </w:rPr>
        <w:t>作品需</w:t>
      </w:r>
      <w:r>
        <w:rPr>
          <w:rFonts w:ascii="標楷體" w:eastAsia="標楷體" w:hAnsi="標楷體" w:hint="eastAsia"/>
        </w:rPr>
        <w:t>含教學</w:t>
      </w:r>
      <w:proofErr w:type="gramEnd"/>
      <w:r>
        <w:rPr>
          <w:rFonts w:ascii="標楷體" w:eastAsia="標楷體" w:hAnsi="標楷體" w:hint="eastAsia"/>
        </w:rPr>
        <w:t>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</w:t>
      </w:r>
      <w:proofErr w:type="gramStart"/>
      <w:r>
        <w:rPr>
          <w:rFonts w:ascii="標楷體" w:eastAsia="標楷體" w:hAnsi="標楷體" w:hint="eastAsia"/>
        </w:rPr>
        <w:t>內涵項度</w:t>
      </w:r>
      <w:proofErr w:type="gramEnd"/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14:paraId="4E8D5DA3" w14:textId="77777777"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14:paraId="204E032B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14:paraId="6BDC5100" w14:textId="77777777"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14:paraId="7E1C58AB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proofErr w:type="gramStart"/>
      <w:r w:rsidRPr="000249B3">
        <w:rPr>
          <w:rFonts w:ascii="標楷體" w:eastAsia="標楷體" w:hAnsi="標楷體" w:hint="eastAsia"/>
        </w:rPr>
        <w:t>三</w:t>
      </w:r>
      <w:proofErr w:type="gramEnd"/>
      <w:r w:rsidRPr="000249B3">
        <w:rPr>
          <w:rFonts w:ascii="標楷體" w:eastAsia="標楷體" w:hAnsi="標楷體" w:hint="eastAsia"/>
        </w:rPr>
        <w:t>：參賽作品智慧財產切結書</w:t>
      </w:r>
    </w:p>
    <w:p w14:paraId="20829913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14:paraId="4D37389B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14:paraId="5A836FD1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F659923" w14:textId="77777777"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14:paraId="77B0C959" w14:textId="77777777" w:rsidR="00A96086" w:rsidRPr="00121DF1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14:paraId="5429626D" w14:textId="77777777"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14:paraId="52B1DC9E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14:paraId="0C697E41" w14:textId="77777777"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</w:t>
      </w:r>
      <w:proofErr w:type="gramStart"/>
      <w:r w:rsidRPr="00F949E0">
        <w:rPr>
          <w:rFonts w:ascii="標楷體" w:eastAsia="標楷體" w:hAnsi="標楷體" w:hint="eastAsia"/>
        </w:rPr>
        <w:t>複</w:t>
      </w:r>
      <w:proofErr w:type="gramEnd"/>
      <w:r w:rsidRPr="00F949E0">
        <w:rPr>
          <w:rFonts w:ascii="標楷體" w:eastAsia="標楷體" w:hAnsi="標楷體" w:hint="eastAsia"/>
        </w:rPr>
        <w:t>審</w:t>
      </w:r>
      <w:r>
        <w:rPr>
          <w:rFonts w:ascii="標楷體" w:eastAsia="標楷體" w:hAnsi="標楷體" w:hint="eastAsia"/>
        </w:rPr>
        <w:t>。</w:t>
      </w:r>
    </w:p>
    <w:p w14:paraId="461D49D2" w14:textId="77777777"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14:paraId="6CA5DEB2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</w:t>
      </w:r>
      <w:proofErr w:type="gramStart"/>
      <w:r>
        <w:rPr>
          <w:lang w:eastAsia="zh-TW"/>
        </w:rPr>
        <w:t>背景敘寫與</w:t>
      </w:r>
      <w:proofErr w:type="gramEnd"/>
      <w:r>
        <w:rPr>
          <w:lang w:eastAsia="zh-TW"/>
        </w:rPr>
        <w:t>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14:paraId="325D3199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14:paraId="3C4499D1" w14:textId="77777777"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14:paraId="2ECDBB99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5A299CD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69F3104E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2CC58170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30037E41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10F51EB" w14:textId="77777777" w:rsidR="00A96086" w:rsidRDefault="00A96086" w:rsidP="00A96086">
      <w:pPr>
        <w:rPr>
          <w:rFonts w:ascii="標楷體" w:eastAsia="標楷體" w:hAnsi="標楷體"/>
          <w:bCs/>
        </w:rPr>
      </w:pPr>
    </w:p>
    <w:p w14:paraId="13C650BB" w14:textId="77777777" w:rsidR="00A96086" w:rsidRPr="00810033" w:rsidRDefault="00A96086" w:rsidP="00A96086">
      <w:pPr>
        <w:rPr>
          <w:rFonts w:ascii="標楷體" w:eastAsia="標楷體" w:hAnsi="標楷體"/>
          <w:bCs/>
        </w:rPr>
      </w:pPr>
    </w:p>
    <w:p w14:paraId="3A13DDCA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14:paraId="27306FA4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14:paraId="0837B794" w14:textId="77777777"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14:paraId="7EDED51A" w14:textId="77777777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14:paraId="5C8A69CD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14:paraId="4509D0CA" w14:textId="77777777"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14:paraId="249B9DC4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14:paraId="01002D84" w14:textId="77777777"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14:paraId="70C1ADE0" w14:textId="77777777" w:rsidTr="00E266C1">
        <w:trPr>
          <w:trHeight w:val="1092"/>
        </w:trPr>
        <w:tc>
          <w:tcPr>
            <w:tcW w:w="1269" w:type="dxa"/>
            <w:vAlign w:val="center"/>
          </w:tcPr>
          <w:p w14:paraId="45A23078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14:paraId="7A2A51DE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493AF87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250A6DA9" w14:textId="77777777" w:rsidTr="00E266C1">
        <w:trPr>
          <w:trHeight w:val="978"/>
        </w:trPr>
        <w:tc>
          <w:tcPr>
            <w:tcW w:w="1269" w:type="dxa"/>
            <w:vAlign w:val="center"/>
          </w:tcPr>
          <w:p w14:paraId="5138506D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14:paraId="78724EB8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5442E2FA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14:paraId="1981086F" w14:textId="77777777" w:rsidTr="00E266C1">
        <w:trPr>
          <w:trHeight w:val="1108"/>
        </w:trPr>
        <w:tc>
          <w:tcPr>
            <w:tcW w:w="1269" w:type="dxa"/>
            <w:vAlign w:val="center"/>
          </w:tcPr>
          <w:p w14:paraId="1C1DA1E5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14:paraId="37D89C31" w14:textId="77777777"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0BECE104" w14:textId="77777777" w:rsidR="00A96086" w:rsidRPr="000249B3" w:rsidRDefault="00A96086" w:rsidP="00E266C1">
            <w:pPr>
              <w:spacing w:line="400" w:lineRule="exact"/>
              <w:rPr>
                <w:rFonts w:ascii="標楷體" w:eastAsia="標楷體" w:hAnsi="標楷體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14:paraId="062D43B9" w14:textId="77777777"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14:paraId="118BC8EE" w14:textId="77777777"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14:paraId="3AA81932" w14:textId="77777777" w:rsidR="00A96086" w:rsidRDefault="00A96086" w:rsidP="00A96086">
      <w:pPr>
        <w:ind w:left="948" w:hangingChars="395" w:hanging="94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</w:t>
      </w:r>
      <w:proofErr w:type="gramStart"/>
      <w:r w:rsidRPr="00811695">
        <w:rPr>
          <w:rFonts w:ascii="標楷體" w:eastAsia="標楷體" w:hAnsi="標楷體" w:hint="eastAsia"/>
          <w:color w:val="000000"/>
        </w:rPr>
        <w:t>俟</w:t>
      </w:r>
      <w:proofErr w:type="gramEnd"/>
      <w:r w:rsidRPr="00811695">
        <w:rPr>
          <w:rFonts w:ascii="標楷體" w:eastAsia="標楷體" w:hAnsi="標楷體" w:hint="eastAsia"/>
          <w:color w:val="000000"/>
        </w:rPr>
        <w:t>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14:paraId="5DDB589F" w14:textId="77777777"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14:paraId="42E3B436" w14:textId="77777777"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/>
          <w:b/>
          <w:color w:val="auto"/>
          <w:sz w:val="28"/>
          <w:szCs w:val="28"/>
        </w:rPr>
      </w:pPr>
      <w:proofErr w:type="gramStart"/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proofErr w:type="gramEnd"/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14:paraId="34855D66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14:paraId="7B5CED77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14:paraId="370EDF26" w14:textId="77777777"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14:paraId="50938474" w14:textId="77777777"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/>
        </w:rPr>
      </w:pPr>
    </w:p>
    <w:p w14:paraId="464D3334" w14:textId="77777777"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14:paraId="1AB21C4C" w14:textId="77777777"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CA6E2C">
        <w:rPr>
          <w:rFonts w:ascii="標楷體" w:eastAsia="標楷體" w:hAnsi="標楷體"/>
          <w:sz w:val="28"/>
        </w:rPr>
        <w:t>一</w:t>
      </w:r>
      <w:proofErr w:type="gramEnd"/>
      <w:r w:rsidRPr="00CA6E2C">
        <w:rPr>
          <w:rFonts w:ascii="標楷體" w:eastAsia="標楷體" w:hAnsi="標楷體"/>
          <w:sz w:val="28"/>
        </w:rPr>
        <w:t>：行動方案徵選報名表</w:t>
      </w:r>
    </w:p>
    <w:p w14:paraId="3DF4513F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60DDBC38" w14:textId="77777777"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14:paraId="358AA47C" w14:textId="77777777"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14:paraId="3C359DB1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22D4F15B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14:paraId="5E3BEE66" w14:textId="77777777"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14:paraId="4B4022AD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6FEF529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7F2FC25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767F2D1F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方案名稱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4CBE60B2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0FBFD0EA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14:paraId="545D4F3B" w14:textId="77777777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14:paraId="3E9075A4" w14:textId="77777777"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14:paraId="46FDDA69" w14:textId="77777777"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14:paraId="13B0D313" w14:textId="77777777"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140" w:type="dxa"/>
            <w:gridSpan w:val="2"/>
            <w:shd w:val="clear" w:color="auto" w:fill="auto"/>
          </w:tcPr>
          <w:p w14:paraId="019E4D15" w14:textId="77777777"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職稱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14:paraId="30FFD58D" w14:textId="77777777"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734" w:type="dxa"/>
            <w:shd w:val="clear" w:color="auto" w:fill="auto"/>
          </w:tcPr>
          <w:p w14:paraId="61B06188" w14:textId="77777777"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分機</w:t>
            </w:r>
            <w:proofErr w:type="spellEnd"/>
          </w:p>
        </w:tc>
        <w:tc>
          <w:tcPr>
            <w:tcW w:w="1560" w:type="dxa"/>
            <w:gridSpan w:val="3"/>
            <w:shd w:val="clear" w:color="auto" w:fill="auto"/>
          </w:tcPr>
          <w:p w14:paraId="469A858C" w14:textId="77777777"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</w:t>
            </w:r>
            <w:proofErr w:type="spellEnd"/>
          </w:p>
          <w:p w14:paraId="310213A4" w14:textId="77777777"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2040" w:type="dxa"/>
            <w:gridSpan w:val="2"/>
            <w:shd w:val="clear" w:color="auto" w:fill="auto"/>
          </w:tcPr>
          <w:p w14:paraId="37B854DE" w14:textId="77777777"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14:paraId="359C9DC5" w14:textId="77777777"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備註</w:t>
            </w:r>
            <w:proofErr w:type="spellEnd"/>
          </w:p>
        </w:tc>
      </w:tr>
      <w:tr w:rsidR="00A96086" w14:paraId="37B3AFCB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1AB55AE9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14:paraId="3A6D5345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0F20418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637DB79F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68FA2CB8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6092868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703EDFC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71B91C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13F031B0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36BE34E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14:paraId="5CFBD1AB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3A77F0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0BC0738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711CC8EC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54FF7D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6FDA650E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2863B3A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6389AB2" w14:textId="77777777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14:paraId="00AEF7DF" w14:textId="77777777"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14:paraId="5367CBB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14:paraId="4FFE79E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14:paraId="7096889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14:paraId="5A0349F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4B38A633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14:paraId="574CD1D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91ADA6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ADE6361" w14:textId="77777777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14:paraId="5493883D" w14:textId="77777777"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</w:t>
            </w:r>
            <w:proofErr w:type="gramStart"/>
            <w:r w:rsidRPr="005B3F14">
              <w:rPr>
                <w:sz w:val="28"/>
                <w:lang w:eastAsia="zh-TW"/>
              </w:rPr>
              <w:t>務</w:t>
            </w:r>
            <w:proofErr w:type="gramEnd"/>
            <w:r w:rsidRPr="005B3F14">
              <w:rPr>
                <w:sz w:val="28"/>
                <w:lang w:eastAsia="zh-TW"/>
              </w:rPr>
              <w:t>請詳填）</w:t>
            </w:r>
          </w:p>
        </w:tc>
      </w:tr>
      <w:tr w:rsidR="00A96086" w14:paraId="30AA021D" w14:textId="77777777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14:paraId="00974434" w14:textId="77777777"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姓名</w:t>
            </w:r>
            <w:proofErr w:type="spellEnd"/>
          </w:p>
        </w:tc>
        <w:tc>
          <w:tcPr>
            <w:tcW w:w="1776" w:type="dxa"/>
            <w:gridSpan w:val="2"/>
            <w:shd w:val="clear" w:color="auto" w:fill="auto"/>
          </w:tcPr>
          <w:p w14:paraId="462028B3" w14:textId="77777777"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學校電話</w:t>
            </w:r>
            <w:proofErr w:type="spellEnd"/>
          </w:p>
        </w:tc>
        <w:tc>
          <w:tcPr>
            <w:tcW w:w="1774" w:type="dxa"/>
            <w:gridSpan w:val="3"/>
            <w:shd w:val="clear" w:color="auto" w:fill="auto"/>
          </w:tcPr>
          <w:p w14:paraId="5AC64281" w14:textId="77777777"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住家電話</w:t>
            </w:r>
            <w:proofErr w:type="spellEnd"/>
          </w:p>
        </w:tc>
        <w:tc>
          <w:tcPr>
            <w:tcW w:w="1618" w:type="dxa"/>
            <w:gridSpan w:val="2"/>
            <w:shd w:val="clear" w:color="auto" w:fill="auto"/>
          </w:tcPr>
          <w:p w14:paraId="02F22E40" w14:textId="77777777"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傳真電話</w:t>
            </w:r>
            <w:proofErr w:type="spellEnd"/>
          </w:p>
        </w:tc>
        <w:tc>
          <w:tcPr>
            <w:tcW w:w="2522" w:type="dxa"/>
            <w:gridSpan w:val="2"/>
            <w:shd w:val="clear" w:color="auto" w:fill="auto"/>
          </w:tcPr>
          <w:p w14:paraId="1FE5097F" w14:textId="77777777"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行動電話</w:t>
            </w:r>
            <w:proofErr w:type="spellEnd"/>
          </w:p>
        </w:tc>
      </w:tr>
      <w:tr w:rsidR="00A96086" w14:paraId="6AC4A6AF" w14:textId="77777777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14:paraId="051FED2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14:paraId="34D8AF41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7C82727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14:paraId="5492FB80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14:paraId="25C752E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64D4F562" w14:textId="77777777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14:paraId="153B72F3" w14:textId="77777777"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0" w:name="E-mail"/>
            <w:bookmarkEnd w:id="0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14:paraId="24B592FF" w14:textId="77777777"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郵寄地址</w:t>
            </w:r>
            <w:proofErr w:type="spellEnd"/>
          </w:p>
        </w:tc>
      </w:tr>
      <w:tr w:rsidR="00A96086" w14:paraId="7504FB9C" w14:textId="77777777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14:paraId="58D6AC0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14:paraId="3E91A8C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3147B143" w14:textId="77777777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14:paraId="5B3592A5" w14:textId="77777777"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教學團隊簡介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0647A27B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266831B5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背景敘寫</w:t>
            </w:r>
            <w:proofErr w:type="spellEnd"/>
            <w:r w:rsidRPr="005B3F14">
              <w:rPr>
                <w:sz w:val="28"/>
              </w:rPr>
              <w:t>：</w:t>
            </w:r>
          </w:p>
        </w:tc>
      </w:tr>
      <w:tr w:rsidR="00A96086" w14:paraId="2253DAD6" w14:textId="77777777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14:paraId="0531053B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14:paraId="44A252EB" w14:textId="77777777"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14:paraId="05FF18F1" w14:textId="77777777"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7"/>
          <w:pgSz w:w="11910" w:h="16840"/>
          <w:pgMar w:top="1220" w:right="600" w:bottom="280" w:left="980" w:header="720" w:footer="720" w:gutter="0"/>
          <w:cols w:space="720"/>
        </w:sectPr>
      </w:pPr>
    </w:p>
    <w:p w14:paraId="266C76D2" w14:textId="77777777"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14:paraId="2A1722A5" w14:textId="77777777"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14:paraId="5498CAF0" w14:textId="77777777"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14:paraId="04AE3F78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BC58FC0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14:paraId="61BF6FAA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55287238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14:paraId="0BB2B466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4CA3A737" w14:textId="77777777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14:paraId="082BB8F5" w14:textId="77777777"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14:paraId="10634D92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7338E328" w14:textId="77777777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14:paraId="3D52C644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2B8CFE03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14:paraId="5AF994BA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33CB8308" w14:textId="77777777"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14:paraId="216E8D1E" w14:textId="77777777"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29288F1E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14:paraId="140735DD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73AA0918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5D2BC531" w14:textId="77777777"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64AE043A" w14:textId="77777777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14:paraId="686F671F" w14:textId="77777777"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14D3F831" w14:textId="77777777"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14:paraId="22E520CE" w14:textId="77777777"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4B2850BB" w14:textId="77777777"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14:paraId="02E50D4D" w14:textId="77777777"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14:paraId="283BE97D" w14:textId="77777777"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proofErr w:type="gramStart"/>
      <w:r w:rsidRPr="00F52401">
        <w:rPr>
          <w:rFonts w:ascii="標楷體" w:eastAsia="標楷體" w:hAnsi="標楷體"/>
          <w:sz w:val="28"/>
        </w:rPr>
        <w:t>三</w:t>
      </w:r>
      <w:proofErr w:type="gramEnd"/>
      <w:r w:rsidRPr="00F52401">
        <w:rPr>
          <w:rFonts w:ascii="標楷體" w:eastAsia="標楷體" w:hAnsi="標楷體"/>
          <w:sz w:val="28"/>
        </w:rPr>
        <w:t>：參賽作品智慧財產切結書</w:t>
      </w:r>
    </w:p>
    <w:p w14:paraId="1D7921D4" w14:textId="77777777"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14:paraId="4B137C16" w14:textId="77777777"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14:paraId="458C2911" w14:textId="77777777" w:rsidR="00A96086" w:rsidRDefault="00A96086" w:rsidP="00A96086">
      <w:pPr>
        <w:pStyle w:val="a6"/>
        <w:rPr>
          <w:b/>
          <w:sz w:val="20"/>
          <w:lang w:eastAsia="zh-TW"/>
        </w:rPr>
      </w:pPr>
    </w:p>
    <w:p w14:paraId="2D10392F" w14:textId="77777777"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14:paraId="6573426B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626E88E7" w14:textId="77777777"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proofErr w:type="spellStart"/>
            <w:r w:rsidRPr="005B3F14">
              <w:rPr>
                <w:sz w:val="28"/>
              </w:rPr>
              <w:t>教學團隊名稱</w:t>
            </w:r>
            <w:proofErr w:type="spellEnd"/>
          </w:p>
        </w:tc>
        <w:tc>
          <w:tcPr>
            <w:tcW w:w="7778" w:type="dxa"/>
            <w:shd w:val="clear" w:color="auto" w:fill="auto"/>
          </w:tcPr>
          <w:p w14:paraId="4586F509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0B26F6E1" w14:textId="77777777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14:paraId="11C7EF25" w14:textId="77777777"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14:paraId="3E2E23FA" w14:textId="77777777"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14:paraId="5C06EF20" w14:textId="77777777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14:paraId="70D9CD08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14:paraId="6E9BAE0E" w14:textId="77777777"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14:paraId="65713C8E" w14:textId="77777777"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14:paraId="442CFBF6" w14:textId="77777777"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14:paraId="0CCAE72F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F13AF3E" w14:textId="77777777"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14:paraId="1136CE12" w14:textId="77777777"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14:paraId="7E8C3545" w14:textId="77777777"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</w:p>
          <w:p w14:paraId="63E482C3" w14:textId="77777777"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14:paraId="507965DB" w14:textId="77777777"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14:paraId="5C45556E" w14:textId="77777777"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14:paraId="6AEB32C0" w14:textId="77777777"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proofErr w:type="gramStart"/>
            <w:r>
              <w:rPr>
                <w:rFonts w:ascii="Times New Roman" w:eastAsia="Times New Roman"/>
                <w:sz w:val="28"/>
              </w:rPr>
              <w:t>1  3</w:t>
            </w:r>
            <w:proofErr w:type="gramEnd"/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14:paraId="177269ED" w14:textId="77777777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14:paraId="111096BD" w14:textId="77777777"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44738AA8" w14:textId="77777777"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14:paraId="1F9B1923" w14:textId="77777777"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14:paraId="1C201FD8" w14:textId="77777777"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proofErr w:type="gramStart"/>
            <w:r w:rsidRPr="005B3F14">
              <w:rPr>
                <w:sz w:val="28"/>
                <w:lang w:eastAsia="zh-TW"/>
              </w:rPr>
              <w:t>立書人</w:t>
            </w:r>
            <w:proofErr w:type="gramEnd"/>
            <w:r w:rsidRPr="005B3F14">
              <w:rPr>
                <w:sz w:val="28"/>
                <w:lang w:eastAsia="zh-TW"/>
              </w:rPr>
              <w:t>請填本教案主要聯絡人。</w:t>
            </w:r>
          </w:p>
        </w:tc>
      </w:tr>
    </w:tbl>
    <w:p w14:paraId="1B567561" w14:textId="77777777" w:rsidR="00A96086" w:rsidRPr="00CA6E2C" w:rsidRDefault="00A96086" w:rsidP="00A96086">
      <w:pPr>
        <w:rPr>
          <w:rFonts w:ascii="標楷體" w:eastAsia="標楷體" w:hAnsi="標楷體"/>
          <w:sz w:val="28"/>
          <w:szCs w:val="28"/>
        </w:rPr>
      </w:pPr>
    </w:p>
    <w:p w14:paraId="5EE1BA44" w14:textId="77777777" w:rsidR="008845E8" w:rsidRPr="00A96086" w:rsidRDefault="008845E8"/>
    <w:sectPr w:rsidR="008845E8" w:rsidRPr="00A96086" w:rsidSect="002E455B">
      <w:footerReference w:type="even" r:id="rId8"/>
      <w:footerReference w:type="default" r:id="rId9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7C62" w14:textId="77777777" w:rsidR="00214431" w:rsidRDefault="00214431">
      <w:r>
        <w:separator/>
      </w:r>
    </w:p>
  </w:endnote>
  <w:endnote w:type="continuationSeparator" w:id="0">
    <w:p w14:paraId="24846221" w14:textId="77777777" w:rsidR="00214431" w:rsidRDefault="0021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E13D" w14:textId="77777777"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B4A163" wp14:editId="3CA02F34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FA85E" w14:textId="77777777"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A3526"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5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B4A163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" o:allowincell="f" filled="f" stroked="f">
              <v:textbox inset="0,0,0,0">
                <w:txbxContent>
                  <w:p w14:paraId="683FA85E" w14:textId="77777777"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 w:rsidR="000A3526"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5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B118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7ED7D7" w14:textId="77777777" w:rsidR="0044720D" w:rsidRDefault="0021443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6B99" w14:textId="77777777"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3526">
      <w:rPr>
        <w:rStyle w:val="a5"/>
        <w:noProof/>
      </w:rPr>
      <w:t>6</w:t>
    </w:r>
    <w:r>
      <w:rPr>
        <w:rStyle w:val="a5"/>
      </w:rPr>
      <w:fldChar w:fldCharType="end"/>
    </w:r>
  </w:p>
  <w:p w14:paraId="1507A886" w14:textId="77777777" w:rsidR="0044720D" w:rsidRDefault="002144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965C" w14:textId="77777777" w:rsidR="00214431" w:rsidRDefault="00214431">
      <w:r>
        <w:separator/>
      </w:r>
    </w:p>
  </w:footnote>
  <w:footnote w:type="continuationSeparator" w:id="0">
    <w:p w14:paraId="2FFB8307" w14:textId="77777777" w:rsidR="00214431" w:rsidRDefault="00214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86"/>
    <w:rsid w:val="000A3526"/>
    <w:rsid w:val="00214431"/>
    <w:rsid w:val="008845E8"/>
    <w:rsid w:val="00A96086"/>
    <w:rsid w:val="00AC7E11"/>
    <w:rsid w:val="00C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14B8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0A3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A35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2025-03-04T07:52:00Z</dcterms:created>
  <dcterms:modified xsi:type="dcterms:W3CDTF">2025-03-04T07:52:00Z</dcterms:modified>
</cp:coreProperties>
</file>